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393</w:t>
      </w:r>
    </w:p>
    <w:p>
      <w:r>
        <w:t>Bundesgericht (BGE), 2004-06-15, DE</w:t>
      </w:r>
    </w:p>
    <w:p>
      <w:r>
        <w:rPr>
          <w:b/>
        </w:rPr>
        <w:t xml:space="preserve">Quelle: </w:t>
      </w:r>
      <w:r>
        <w:t>https://mcp.opencaselaw.ch/entscheid/bge_130 V 393</w:t>
      </w:r>
    </w:p>
    <w:p>
      <w:r>
        <w:t>FR: ATF 130 V 393</w:t>
      </w:r>
    </w:p>
    <w:p>
      <w:r>
        <w:t>IT: DTF 130 V 393</w:t>
      </w:r>
    </w:p>
    <w:p>
      <w:pPr>
        <w:pStyle w:val="Heading2"/>
      </w:pPr>
      <w:r>
        <w:t>Regeste</w:t>
      </w:r>
    </w:p>
    <w:p>
      <w:r>
        <w:t>Regeste Art. 1 Abs. 1 IVG in Verbindung mit Art. 8 Abs. 1 und 3 ATSG sowie Art. 16 ATSG; Art. 28 Abs. 3 IVG (in der bis 31. Dezember 2003 gültig gewesenen Fassung) in Verbindung mit Art. 27bis Abs. 1 und 2 IVV (in den bis 31. Dezember 2003 gültig gewesenen Fassungen); Art. 28 Abs. 2ter IVG in Verbindung mit Art. 27bis IVV: Invaliditätsbemessung nach der gemischten Methode; ATSG. Die bisherige Rechtsprechung zur Anwendung der so genannten gemischten Methode nach Massgabe von Art. 27bis IVV zur Invaliditätsbemessung bei teilerwerbstätigen Versicherten erfährt durch das In-Kraft-Treten des ATSG keine Änderung (Erw. 3).</w:t>
      </w:r>
    </w:p>
    <w:p>
      <w:pPr>
        <w:pStyle w:val="Heading2"/>
      </w:pPr>
      <w:r>
        <w:t>Erwägungen</w:t>
      </w:r>
    </w:p>
    <w:p>
      <w:r>
        <w:rPr>
          <w:b/>
        </w:rPr>
        <w:t>E. 3</w:t>
      </w:r>
    </w:p>
    <w:p>
      <w:r>
        <w:t>Zu beurteilen ist in einem ersten Schritt, ob die Invaliditätsbemessung bei teilerwerbstätigen Versicherten auch unter der Geltung des ATSG weiterhin nach der so genannten gemischten Methode vorzunehmen ist.</w:t>
      </w:r>
    </w:p>
    <w:p>
      <w:r>
        <w:rPr>
          <w:b/>
        </w:rPr>
        <w:t>E. 3.1</w:t>
      </w:r>
    </w:p>
    <w:p>
      <w:r>
        <w:t>Während das ATSG selber keine diesbezügliche Regelung enthält, sieht Art. 27 bis Abs. 1 IVV (in der vom 1. Januar bis 31. Dezember 2003 in Kraft gestandenen, vorliegend massgeblichen Fassung) vor, dass bei Versicherten, die nur zum Teil erwerbstätig sind oder die unentgeltlich im Betrieb des Ehegatten oder der Ehegattin mitarbeiten, für diesen Teil die Invalidität nach Art. 16 ATSG festgelegt wird. Waren sie daneben in einem Aufgabenbereich nach Art. 8 Abs. 3 ATSG tätig, so wird die Invalidität für diese Tätigkeit nach Art. 27 IVV ("Nichterwerbstätige") festgelegt. In diesem Falle sind der Anteil der Erwerbstätigkeit beziehungsweise der unentgeltlichen Mitarbeit im Betrieb des Ehegatten oder der Ehegattin und der Anteil der Tätigkeit im andern Aufgabenbereich festzulegen und ist der Invaliditätsgrad entsprechend der Behinderung in beiden Bereichen zu bemessen (so genannte gemischte Methode). Ist - so Abs. 2 der Bestimmung - anzunehmen, dass Versicherte im Zeitpunkt der Prüfung des Rentenanspruchs ohne Gesundheitsschaden ganztätig erwerbstätig wären, hat die Invaliditätsbemessung ausschliesslich nach den Grundsätzen für Erwerbstätige zu erfolgen.</w:t>
      </w:r>
    </w:p>
    <w:p>
      <w:r>
        <w:rPr>
          <w:b/>
        </w:rPr>
        <w:t>E. 3.2</w:t>
      </w:r>
    </w:p>
    <w:p>
      <w:r>
        <w:t>Wie bis anhin (vgl. Art. 28 Abs. 3 IVG [in der bis 31. Dezember 2002 in Kraft gestandenen Fassung] in Verbindung mit Art. 27bis Abs. 1 und 2 IVV [in den bis 31. Dezember 2000 sowie vom 1. Januar 2001 bis 31. Dezember 2002 in Kraft gestandenen Fassungen]) fehlt es somit auf gesetzlicher Ebene an einer ausdrücklichen Grundlage für eine besondere Bemessungsmethode der Invalidität bei Teilerwerbstätigen (vgl. indes nunmehr seit 1. Januar 2004: Art. 28 Abs. 2ter IVG [in Verbindung mit Art. 27bis IVV ]). Aus den Art. 7 f. ATSG wird jedoch erkennbar, dass der Gesetzgeber die Bemessung der Invalidität sowohl von Erwerbstätigen ( Art. 7, 8 Abs. 1 und 16 ATSG ) wie auch von Nichterwerbstätigen ( Art. 8 Abs. 3 ATSG ) regeln wollte. Es ist kein Grund ersichtlich, weshalb die Bestimmung der Invalidität von teilerwerbstätigen Versicherten - als deren Mischform - davon ausgenommen werden sollte (vgl. auch UELI KIESER, ATSG-Kommentar: Kommentar zum Bundesgesetz über den Allgemeinen Teil des BGE 130 V 393 S. 395 Sozialversicherungsrechts vom 6. Oktober 2000, Zürich 2003, N 25 zu Art. 7). Der Umstand, dass das ATSG keine für mehrere Sozialversicherungszweige verbindliche Regelung der Invaliditätsbemessung bei teilerwerbstätigen Versicherten enthält, lässt indes klar erkennen, dass in dieser Frage eben gerade keine - mit der Einführung des ATSG grundsätzlich beabsichtigte - Vereinheitlichung des bisherigen materiellen Sozialversicherungsrechts angestrebt wurde (vgl. BGE 130 V 344 Erw. 2.2 mit Hinweisen). Der Gesetzgeber wollte die nicht in allen Teilen nach den gleichen Kriterien vorgenommene bisherige Bemessung der Invalidität von Teilerwerbstätigen (vgl. dazu etwa für die Invalidenversicherung BGE 125 V 152 ff. Erw. 4 und für die Unfallversicherung BGE 119 V 481 Erw. 2b; ALEXANDRA Rumo-Jungo, Bundesgesetz über die Unfallversicherung, in: MURER/ STAUFFER [Hrsg.], Rechtsprechung des Bundesgerichts zum Sozialversicherungsrecht, 3. Aufl., Zürich 2003, S. 61) somit durch das ATSG nicht harmonisieren, sondern in den einzelnen Sozialversicherungen weiterhin singuläre Lösungen ermöglichen. Eine entsprechende Umsetzung findet sich denn auch einerseits im zuvor zitierten Art. 27bis IVV sowie - per 1. Januar 2004 - im neuen Art. 28 Abs. 2ter IVG , welcher im Wesentlichen die nun auf Gesetzesstufe gehobene bisherige Verordnungsnorm beinhaltet. Wie namentlich der bundesrätlichen Botschaft zur 4. IVG-Revision zu entnehmen ist, sollte sich dadurch bei der Methode der Invaliditätsbemessung im Vergleich zur geltenden Regelung nichts ändern (vgl. die Botschaft vom 21. Februar 2001 über die 4. Revision des Bundesgesetzes über die Invalidenversicherung [BBl 2001 3267 und 3287], was weder im Rahmen der Vorberatungen in den jeweiligen Kommissionen (Protokoll der nationalrätlichen Kommission für soziale Sicherheit und Gesundheit vom 1./2. November 2001 [S. 46]; Protokoll der ständerätlichen Kommission für soziale Sicherheit und Gesundheit vom 27./28. Mai 2002 [S. 9]) noch in den parlamentarischen Beratungen zu Diskussionen Anlass gab (Amtl. Bull. 2001 N 1943 und S 756 f.).</w:t>
      </w:r>
    </w:p>
    <w:p>
      <w:r>
        <w:rPr>
          <w:b/>
        </w:rPr>
        <w:t>E. 3.3</w:t>
      </w:r>
    </w:p>
    <w:p>
      <w:r>
        <w:t>Da sich, wie zuvor beschrieben, dem Invalidenversicherungsgesetz bis Ende 2003 keine unmittelbaren Hinweise zur Bestimmung der Invalidität bei Teilerwerbstätigen entnehmen liessen, entwickelte das Eidgenössische Versicherungsgericht eine ständige Rechtsprechung zur Anwendung der gemischten Methode nach Massgabe von Art. 27bis IVV (zur Entstehung vgl. namentlich FRANZ SCHLAURI, Gemischte Methode der Invaliditätsbemessung, in: BGE 130 V 393 S. 396 SCHAFFHAUSER/SCHLAURI [Hrsg.], Schmerz und Arbeitsunfähigkeit, St. Gallen 2003, S. 309-328 mit diversen Hinweisen). An dieser insbesondere in BGE 125 V 146 ausführlich dargelegten und bekräftigten Praxis wurde trotz Kritik (vgl. u.a. BGE 125 V 152 f. Erw. 4; SCHLAURI, a.a.O., S. 317-328; KIESER, a.a.O., N 24 zu Art. 7 mit Hinweisen) auch in neuester Zeit ausdrücklich festgehalten (vgl. u.a. Urteile M. vom 23. Februar 2004, I 399/01, S. vom 23. Februar 2004, I 219/02, und F. vom 17. Februar 2004, I 473/03). Danach wird zunächst der Anteil der Erwerbstätigkeit und derjenige der Tätigkeit im Aufgabenbereich (so unter anderm im Haushalt) bestimmt, wobei sich die Frage, in welchem Ausmass die versicherte Person ohne gesundheitliche Beeinträchtigung erwerbstätig wäre, mit Rücksicht auf die gesamten Umstände, so die persönlichen, familiären, sozialen und erwerblichen Verhältnisse, beurteilt ( BGE 125 V 150 Erw. 2c mit Hinweisen; SVR 2001 IV Nr. 25 S. 75 ff.).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Von dieser Gerichts- und Verwaltungspraxis abzuweichen besteht nach dem Gesagten auch mit In-Kraft-Treten des ATSG keine Veranlassung.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